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74" w:rsidRDefault="002C5F0E" w:rsidP="0085336B">
      <w:pPr>
        <w:shd w:val="clear" w:color="auto" w:fill="FFFFFF"/>
        <w:spacing w:after="0" w:line="252" w:lineRule="atLeast"/>
        <w:jc w:val="center"/>
        <w:outlineLvl w:val="0"/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val="uk-UA" w:eastAsia="ru-RU"/>
        </w:rPr>
      </w:pPr>
      <w:r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fldChar w:fldCharType="begin"/>
      </w:r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instrText xml:space="preserve"> HYPERLINK "http://iitzo.gov.ua/rozyasnennya-do-instruktsiji-pro-poryadok-komplektuvannya-ta-obliku-pidruchnykiv-i-navchalnyh-posibnykiv-u-bibliotechnyh-fondah-zahalnoosvitnih-profesijno-tehnichnyh-navchalnyh-zakladiv-ta-vyschyh/" \o "Роз’яснення   до \«Інструкції про порядок комплектування та обліку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акредитації\»" </w:instrText>
      </w:r>
      <w:r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fldChar w:fldCharType="separate"/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Роз’яснення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 до «</w:t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Інструкції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 про порядок </w:t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комплектування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 та </w:t>
      </w:r>
      <w:proofErr w:type="spellStart"/>
      <w:proofErr w:type="gram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обл</w:t>
      </w:r>
      <w:proofErr w:type="gram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іку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 </w:t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підручників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 </w:t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і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 </w:t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навчальних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 </w:t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посібників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 у </w:t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бібліотечних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 фондах </w:t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загальноосвітніх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, </w:t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професійно-технічних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 </w:t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навчальних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 </w:t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закладів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 та </w:t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вищих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 </w:t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навчальних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 </w:t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закладів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 І-ІІ </w:t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рівнів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 xml:space="preserve"> </w:t>
      </w:r>
      <w:proofErr w:type="spellStart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акредитації</w:t>
      </w:r>
      <w:proofErr w:type="spellEnd"/>
      <w:r w:rsidR="00251774"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t>»</w:t>
      </w:r>
      <w:r w:rsidRPr="0085336B"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eastAsia="ru-RU"/>
        </w:rPr>
        <w:fldChar w:fldCharType="end"/>
      </w:r>
    </w:p>
    <w:p w:rsidR="0085336B" w:rsidRPr="0085336B" w:rsidRDefault="0085336B" w:rsidP="0085336B">
      <w:pPr>
        <w:shd w:val="clear" w:color="auto" w:fill="FFFFFF"/>
        <w:spacing w:after="0" w:line="252" w:lineRule="atLeast"/>
        <w:jc w:val="center"/>
        <w:outlineLvl w:val="0"/>
        <w:rPr>
          <w:rFonts w:ascii="Georgia" w:eastAsia="Times New Roman" w:hAnsi="Georgia" w:cs="Times New Roman"/>
          <w:b/>
          <w:color w:val="548DD4" w:themeColor="text2" w:themeTint="99"/>
          <w:kern w:val="36"/>
          <w:sz w:val="28"/>
          <w:szCs w:val="28"/>
          <w:lang w:val="uk-UA" w:eastAsia="ru-RU"/>
        </w:rPr>
      </w:pPr>
    </w:p>
    <w:p w:rsidR="00251774" w:rsidRPr="0085336B" w:rsidRDefault="00251774" w:rsidP="00251774">
      <w:pPr>
        <w:shd w:val="clear" w:color="auto" w:fill="FFFFFF"/>
        <w:spacing w:after="0" w:line="292" w:lineRule="atLeast"/>
        <w:jc w:val="both"/>
        <w:rPr>
          <w:rFonts w:ascii="Arial" w:eastAsia="Times New Roman" w:hAnsi="Arial" w:cs="Arial"/>
          <w:color w:val="080808"/>
          <w:sz w:val="28"/>
          <w:szCs w:val="28"/>
          <w:lang w:val="uk-UA" w:eastAsia="ru-RU"/>
        </w:rPr>
      </w:pPr>
      <w:r w:rsidRPr="0085336B">
        <w:rPr>
          <w:rFonts w:ascii="Arial" w:eastAsia="Times New Roman" w:hAnsi="Arial" w:cs="Arial"/>
          <w:color w:val="080808"/>
          <w:sz w:val="28"/>
          <w:szCs w:val="28"/>
          <w:lang w:val="uk-UA" w:eastAsia="ru-RU"/>
        </w:rPr>
        <w:t>У зв’язку з тим що 31 грудня 2013 року набрала</w:t>
      </w: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 </w:t>
      </w:r>
      <w:r w:rsidRPr="0085336B">
        <w:rPr>
          <w:rFonts w:ascii="Arial" w:eastAsia="Times New Roman" w:hAnsi="Arial" w:cs="Arial"/>
          <w:color w:val="080808"/>
          <w:sz w:val="28"/>
          <w:szCs w:val="28"/>
          <w:lang w:val="uk-UA" w:eastAsia="ru-RU"/>
        </w:rPr>
        <w:t xml:space="preserve"> чинності</w:t>
      </w: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 </w:t>
      </w:r>
      <w:r w:rsidRPr="0085336B">
        <w:rPr>
          <w:rFonts w:ascii="Arial" w:eastAsia="Times New Roman" w:hAnsi="Arial" w:cs="Arial"/>
          <w:b/>
          <w:bCs/>
          <w:color w:val="080808"/>
          <w:sz w:val="28"/>
          <w:szCs w:val="28"/>
          <w:lang w:val="uk-UA" w:eastAsia="ru-RU"/>
        </w:rPr>
        <w:t>«Інструкція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акредитації»</w:t>
      </w:r>
      <w:r w:rsidRPr="0085336B">
        <w:rPr>
          <w:rFonts w:ascii="Arial" w:eastAsia="Times New Roman" w:hAnsi="Arial" w:cs="Arial"/>
          <w:color w:val="080808"/>
          <w:sz w:val="28"/>
          <w:szCs w:val="28"/>
          <w:lang w:val="uk-UA" w:eastAsia="ru-RU"/>
        </w:rPr>
        <w:t>, затверджена наказом</w:t>
      </w: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 </w:t>
      </w:r>
      <w:r w:rsidRPr="0085336B">
        <w:rPr>
          <w:rFonts w:ascii="Arial" w:eastAsia="Times New Roman" w:hAnsi="Arial" w:cs="Arial"/>
          <w:color w:val="080808"/>
          <w:sz w:val="28"/>
          <w:szCs w:val="28"/>
          <w:lang w:val="uk-UA" w:eastAsia="ru-RU"/>
        </w:rPr>
        <w:t xml:space="preserve"> </w:t>
      </w: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    </w:t>
      </w:r>
      <w:r w:rsidRPr="0085336B">
        <w:rPr>
          <w:rFonts w:ascii="Arial" w:eastAsia="Times New Roman" w:hAnsi="Arial" w:cs="Arial"/>
          <w:color w:val="080808"/>
          <w:sz w:val="28"/>
          <w:szCs w:val="28"/>
          <w:lang w:val="uk-UA" w:eastAsia="ru-RU"/>
        </w:rPr>
        <w:t xml:space="preserve"> Міністерства освіти і науки України від 02 грудня 2013 року № 1686 та зареєстрована в Міністерстві юстиції України 18 грудня 2013 року за № 2137/24669, Інститутом інноваційних технологій і змісту освіти МОН України </w:t>
      </w: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 </w:t>
      </w:r>
      <w:r w:rsidRPr="0085336B">
        <w:rPr>
          <w:rFonts w:ascii="Arial" w:eastAsia="Times New Roman" w:hAnsi="Arial" w:cs="Arial"/>
          <w:color w:val="080808"/>
          <w:sz w:val="28"/>
          <w:szCs w:val="28"/>
          <w:lang w:val="uk-UA" w:eastAsia="ru-RU"/>
        </w:rPr>
        <w:t xml:space="preserve"> підготовлено роз’яснення з приводу деяких питань, які виникли у шкільних бібліотекарів та методистів із бібліотечних фондів, зокрема:</w:t>
      </w:r>
    </w:p>
    <w:p w:rsidR="00251774" w:rsidRPr="009C639C" w:rsidRDefault="00251774" w:rsidP="00251774">
      <w:pPr>
        <w:numPr>
          <w:ilvl w:val="0"/>
          <w:numId w:val="1"/>
        </w:numPr>
        <w:shd w:val="clear" w:color="auto" w:fill="FFFFFF"/>
        <w:spacing w:after="0" w:line="272" w:lineRule="atLeast"/>
        <w:ind w:left="360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Ø 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Хто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виконує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роботу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комплектування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та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обліку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підручників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посібників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gram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в</w:t>
      </w:r>
      <w:proofErr w:type="gram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тих ЗНЗ, у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яких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штатним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розписом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передбачена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посада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завідувача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бібліотеки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?</w:t>
      </w:r>
    </w:p>
    <w:p w:rsidR="00251774" w:rsidRPr="009C639C" w:rsidRDefault="00251774" w:rsidP="00251774">
      <w:pPr>
        <w:shd w:val="clear" w:color="auto" w:fill="FFFFFF"/>
        <w:spacing w:after="288" w:line="292" w:lineRule="atLeast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У  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закладах, де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штатним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розписом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передбачена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посада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завідувача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бібліотекою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, роботу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комплектування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обл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іку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підручників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посібників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здійснює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бібліотекар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навчального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закладу,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який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за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функціональними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обов’язками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відповідає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за роботу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підручниками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та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навчальними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посібниками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.</w:t>
      </w:r>
    </w:p>
    <w:p w:rsidR="00251774" w:rsidRPr="009C639C" w:rsidRDefault="00251774" w:rsidP="00251774">
      <w:pPr>
        <w:numPr>
          <w:ilvl w:val="0"/>
          <w:numId w:val="2"/>
        </w:numPr>
        <w:shd w:val="clear" w:color="auto" w:fill="FFFFFF"/>
        <w:spacing w:after="0" w:line="272" w:lineRule="atLeast"/>
        <w:ind w:left="360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Ø 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Чи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передбачено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централізоване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забезпечення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закладів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документацією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обл</w:t>
      </w:r>
      <w:proofErr w:type="gram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іку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бібліотечних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фондів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?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Якщо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ні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, то де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можна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придбати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цю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документацію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?</w:t>
      </w:r>
    </w:p>
    <w:p w:rsidR="00251774" w:rsidRPr="009C639C" w:rsidRDefault="00251774" w:rsidP="00251774">
      <w:pPr>
        <w:numPr>
          <w:ilvl w:val="0"/>
          <w:numId w:val="2"/>
        </w:numPr>
        <w:shd w:val="clear" w:color="auto" w:fill="FFFFFF"/>
        <w:spacing w:after="120" w:line="272" w:lineRule="atLeast"/>
        <w:ind w:left="360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Ø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Централізоване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забезпечення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закладів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документацією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обл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іку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підручників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посібників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у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бібліотечних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фондах не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передбачено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.</w:t>
      </w:r>
    </w:p>
    <w:p w:rsidR="00251774" w:rsidRPr="009C639C" w:rsidRDefault="00251774" w:rsidP="00251774">
      <w:pPr>
        <w:numPr>
          <w:ilvl w:val="0"/>
          <w:numId w:val="2"/>
        </w:numPr>
        <w:shd w:val="clear" w:color="auto" w:fill="FFFFFF"/>
        <w:spacing w:after="0" w:line="272" w:lineRule="atLeast"/>
        <w:ind w:left="360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Ø 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Чи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мають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право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бібліотеки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вести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зазначену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документацію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лише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в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електронному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варіанті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?</w:t>
      </w:r>
    </w:p>
    <w:p w:rsidR="00251774" w:rsidRPr="009C639C" w:rsidRDefault="00251774" w:rsidP="00251774">
      <w:pPr>
        <w:shd w:val="clear" w:color="auto" w:fill="FFFFFF"/>
        <w:spacing w:after="288" w:line="292" w:lineRule="atLeast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Бібліотекарі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обов’язково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мають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вести </w:t>
      </w:r>
      <w:proofErr w:type="spellStart"/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обл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ік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  у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паперовому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варіанті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.</w:t>
      </w:r>
    </w:p>
    <w:p w:rsidR="00251774" w:rsidRPr="009C639C" w:rsidRDefault="00251774" w:rsidP="00251774">
      <w:pPr>
        <w:numPr>
          <w:ilvl w:val="0"/>
          <w:numId w:val="3"/>
        </w:numPr>
        <w:shd w:val="clear" w:color="auto" w:fill="FFFFFF"/>
        <w:spacing w:after="0" w:line="272" w:lineRule="atLeast"/>
        <w:ind w:left="360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Ø 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Чому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документи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обл</w:t>
      </w:r>
      <w:proofErr w:type="gram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іку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бібліотечних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фондів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шкільних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підручників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не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входять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до Порядку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типових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документів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що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обов’язково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створюються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під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час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діяльності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загальноосвітніх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закладів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передбаченого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Типовою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інструкцією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діловодства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у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загальноосвітніх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закладах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усіх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типів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форм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власності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затвердженою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наказом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Міністерства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освіти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науки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України</w:t>
      </w:r>
      <w:proofErr w:type="spellEnd"/>
      <w:r w:rsidRPr="009C639C">
        <w:rPr>
          <w:rFonts w:ascii="Arial" w:eastAsia="Times New Roman" w:hAnsi="Arial" w:cs="Arial"/>
          <w:i/>
          <w:iCs/>
          <w:color w:val="080808"/>
          <w:sz w:val="28"/>
          <w:szCs w:val="28"/>
          <w:lang w:eastAsia="ru-RU"/>
        </w:rPr>
        <w:t> </w:t>
      </w:r>
      <w:proofErr w:type="spellStart"/>
      <w:r w:rsidRPr="009C639C">
        <w:rPr>
          <w:rFonts w:ascii="Arial" w:eastAsia="Times New Roman" w:hAnsi="Arial" w:cs="Arial"/>
          <w:i/>
          <w:iCs/>
          <w:color w:val="080808"/>
          <w:sz w:val="28"/>
          <w:szCs w:val="28"/>
          <w:lang w:eastAsia="ru-RU"/>
        </w:rPr>
        <w:t>від</w:t>
      </w:r>
      <w:proofErr w:type="spellEnd"/>
      <w:r w:rsidRPr="009C639C">
        <w:rPr>
          <w:rFonts w:ascii="Arial" w:eastAsia="Times New Roman" w:hAnsi="Arial" w:cs="Arial"/>
          <w:i/>
          <w:iCs/>
          <w:color w:val="080808"/>
          <w:sz w:val="28"/>
          <w:szCs w:val="28"/>
          <w:lang w:eastAsia="ru-RU"/>
        </w:rPr>
        <w:t xml:space="preserve"> 28 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серпня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2013 р. № 1239?</w:t>
      </w:r>
    </w:p>
    <w:p w:rsidR="00251774" w:rsidRPr="009C639C" w:rsidRDefault="00251774" w:rsidP="00251774">
      <w:pPr>
        <w:shd w:val="clear" w:color="auto" w:fill="FFFFFF"/>
        <w:spacing w:after="0" w:line="292" w:lineRule="atLeast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lastRenderedPageBreak/>
        <w:t>Документи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обл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іку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бібліотечних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фондів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підручників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для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загальноосвітніх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закладів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не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увійшли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до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Переліку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типових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документів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діяльності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загальноосвітніх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закладів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передбаченого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Типовою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інструкцією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діловодства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у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загальноосвітніх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закладах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усіх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типів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форм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власності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затвердженою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наказом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Міністерства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освіти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науки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України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від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28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серпня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2013 р.               № 1239, тому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що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на час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затвердження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вищезазначеного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наказу не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була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завершена робота по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узгодженню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Інструкції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про порядок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комплектування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обл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ік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підручників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посібників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у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бібліотечних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фондах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загальноосвітніх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професійно-технічних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закладів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та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вищих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закладів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І-ІІ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рівнів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акредитації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.</w:t>
      </w:r>
    </w:p>
    <w:p w:rsidR="00251774" w:rsidRPr="009C639C" w:rsidRDefault="00251774" w:rsidP="00251774">
      <w:pPr>
        <w:numPr>
          <w:ilvl w:val="0"/>
          <w:numId w:val="4"/>
        </w:numPr>
        <w:shd w:val="clear" w:color="auto" w:fill="FFFFFF"/>
        <w:spacing w:after="0" w:line="272" w:lineRule="atLeast"/>
        <w:ind w:left="360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Ø </w:t>
      </w:r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У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пункті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7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Інструкції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вказано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що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«на титульному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аркуші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примірника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</w:t>
      </w:r>
      <w:proofErr w:type="gram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ідручника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… ставиться штемпель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із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зазначенням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навчального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закладу».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Зазвичай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бібліотеки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проставляли штемпель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бібліотеки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навчального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закладу.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Чи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означає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це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що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потрібно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проставляти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два штемпеля?</w:t>
      </w:r>
    </w:p>
    <w:p w:rsidR="00251774" w:rsidRPr="009C639C" w:rsidRDefault="00251774" w:rsidP="00251774">
      <w:pPr>
        <w:shd w:val="clear" w:color="auto" w:fill="FFFFFF"/>
        <w:spacing w:after="0" w:line="292" w:lineRule="atLeast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На титульному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аркуші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примірника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ідручника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 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або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навчального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посібника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достатньо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проставити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штемпель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бібліотеки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навчального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закладу,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оскільки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на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ньому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є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назва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навчального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закладу.</w:t>
      </w:r>
    </w:p>
    <w:p w:rsidR="00251774" w:rsidRPr="009C639C" w:rsidRDefault="00251774" w:rsidP="00251774">
      <w:pPr>
        <w:numPr>
          <w:ilvl w:val="0"/>
          <w:numId w:val="5"/>
        </w:numPr>
        <w:shd w:val="clear" w:color="auto" w:fill="FFFFFF"/>
        <w:spacing w:after="0" w:line="272" w:lineRule="atLeast"/>
        <w:ind w:left="360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Ø </w:t>
      </w:r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Як  </w:t>
      </w:r>
      <w:proofErr w:type="spellStart"/>
      <w:proofErr w:type="gram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обл</w:t>
      </w:r>
      <w:proofErr w:type="gram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іковуються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книжки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із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серії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«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Шкільна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бібліотека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» ?</w:t>
      </w:r>
    </w:p>
    <w:p w:rsidR="00251774" w:rsidRPr="009C639C" w:rsidRDefault="00251774" w:rsidP="00251774">
      <w:pPr>
        <w:shd w:val="clear" w:color="auto" w:fill="FFFFFF"/>
        <w:spacing w:after="288" w:line="292" w:lineRule="atLeast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Книжки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серії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«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Шкільна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бібліотека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»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відносяться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до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пос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ібників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, тому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обліковуються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відповідно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до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Інструкції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про порядок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комплектування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та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облік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підручників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посібників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у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бібліотечних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фондах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загальноосвітніх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професійно-технічних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закладів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та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вищих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закладів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І-ІІ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рівнів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акредитації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, як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інші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ідручники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та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посібники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.</w:t>
      </w:r>
    </w:p>
    <w:p w:rsidR="00251774" w:rsidRPr="009C639C" w:rsidRDefault="00251774" w:rsidP="00251774">
      <w:pPr>
        <w:numPr>
          <w:ilvl w:val="0"/>
          <w:numId w:val="6"/>
        </w:numPr>
        <w:shd w:val="clear" w:color="auto" w:fill="FFFFFF"/>
        <w:spacing w:after="0" w:line="272" w:lineRule="atLeast"/>
        <w:ind w:left="360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Ø 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Наразі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шкільні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бібліотеки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мають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у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своїх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фондах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педагогічні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програмні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засоби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навчального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призначення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електронні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</w:t>
      </w:r>
      <w:proofErr w:type="gram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ідручники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.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Який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порядок </w:t>
      </w:r>
      <w:proofErr w:type="spellStart"/>
      <w:proofErr w:type="gram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обл</w:t>
      </w:r>
      <w:proofErr w:type="gram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іку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таких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видань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?</w:t>
      </w:r>
    </w:p>
    <w:p w:rsidR="00251774" w:rsidRPr="009C639C" w:rsidRDefault="00251774" w:rsidP="00251774">
      <w:pPr>
        <w:shd w:val="clear" w:color="auto" w:fill="FFFFFF"/>
        <w:spacing w:after="288" w:line="292" w:lineRule="atLeast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Інструкція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стосується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обл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іку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підручників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та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посібників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що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видаються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за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державні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кошти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.</w:t>
      </w:r>
    </w:p>
    <w:p w:rsidR="00251774" w:rsidRPr="009C639C" w:rsidRDefault="00251774" w:rsidP="00251774">
      <w:pPr>
        <w:numPr>
          <w:ilvl w:val="0"/>
          <w:numId w:val="7"/>
        </w:numPr>
        <w:shd w:val="clear" w:color="auto" w:fill="FFFFFF"/>
        <w:spacing w:after="0" w:line="272" w:lineRule="atLeast"/>
        <w:ind w:left="360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Ø </w:t>
      </w:r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У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пункті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10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Інструкції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зазначено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що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бібліотекар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щороку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станом на 01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січня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здійснює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звірку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руху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</w:t>
      </w:r>
      <w:proofErr w:type="gram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ідручників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на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підставі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акта та Книги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сумарного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обліку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.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Традиційно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таку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звірку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здійснював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бухгалтер, про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що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засвідчував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своїм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</w:t>
      </w:r>
      <w:proofErr w:type="gram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ідписом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у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Книзі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сумарного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обліку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.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Поясніть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механізм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звірки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передбаченої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новою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Інструкцією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?</w:t>
      </w:r>
    </w:p>
    <w:p w:rsidR="00251774" w:rsidRPr="009C639C" w:rsidRDefault="00251774" w:rsidP="00251774">
      <w:pPr>
        <w:shd w:val="clear" w:color="auto" w:fill="FFFFFF"/>
        <w:spacing w:after="288" w:line="292" w:lineRule="atLeast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Для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більшої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точності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проведення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звірки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запобігання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допущення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помилок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бібліотекар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співставляє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акти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на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списання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записами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у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Книзі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сумарного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обл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іку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.</w:t>
      </w:r>
    </w:p>
    <w:p w:rsidR="00251774" w:rsidRPr="009C639C" w:rsidRDefault="00251774" w:rsidP="00251774">
      <w:pPr>
        <w:numPr>
          <w:ilvl w:val="0"/>
          <w:numId w:val="8"/>
        </w:numPr>
        <w:shd w:val="clear" w:color="auto" w:fill="FFFFFF"/>
        <w:spacing w:after="0" w:line="272" w:lineRule="atLeast"/>
        <w:ind w:left="360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lastRenderedPageBreak/>
        <w:t>Ø </w:t>
      </w:r>
      <w:proofErr w:type="gram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У</w:t>
      </w:r>
      <w:proofErr w:type="gram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пунктах 13-14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Інструкції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прописано порядок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оформлення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заміни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втрачених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/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зіпсованих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видань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.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Поясніть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порядок 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оцінювання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прийнятих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gram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на</w:t>
      </w:r>
      <w:proofErr w:type="gram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заміну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втрачених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/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пошкоджених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видань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?</w:t>
      </w:r>
    </w:p>
    <w:p w:rsidR="00251774" w:rsidRPr="009C639C" w:rsidRDefault="00251774" w:rsidP="00251774">
      <w:pPr>
        <w:shd w:val="clear" w:color="auto" w:fill="FFFFFF"/>
        <w:spacing w:after="288" w:line="292" w:lineRule="atLeast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У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пункті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12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Інструкції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чітко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зазначено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: «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Якщо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ідручник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або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навчальний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посібник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загублений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чи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зіпсований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, до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бібліотеки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повертається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такий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самий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підручник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або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навчальний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посібник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». У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виключних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випадках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(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відсутня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можливість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придбати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такий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саме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ідручник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або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навчальний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посібник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)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бібліотекар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визначає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рівноцінність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заміни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.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Наприклад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ідручник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іншого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предмету.</w:t>
      </w:r>
    </w:p>
    <w:p w:rsidR="00251774" w:rsidRPr="009C639C" w:rsidRDefault="00251774" w:rsidP="00251774">
      <w:pPr>
        <w:numPr>
          <w:ilvl w:val="0"/>
          <w:numId w:val="9"/>
        </w:numPr>
        <w:shd w:val="clear" w:color="auto" w:fill="FFFFFF"/>
        <w:spacing w:after="0" w:line="272" w:lineRule="atLeast"/>
        <w:ind w:left="360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Ø </w:t>
      </w:r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Як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ведеться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обл</w:t>
      </w:r>
      <w:proofErr w:type="gram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ік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документів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тимчасового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зберігання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?</w:t>
      </w:r>
    </w:p>
    <w:p w:rsidR="00251774" w:rsidRPr="009C639C" w:rsidRDefault="00251774" w:rsidP="00251774">
      <w:pPr>
        <w:shd w:val="clear" w:color="auto" w:fill="FFFFFF"/>
        <w:spacing w:after="288" w:line="292" w:lineRule="atLeast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proofErr w:type="spellStart"/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Обл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ік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документів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тимчасового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зберігання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, а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саме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: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календарі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програми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тощо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ведеться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відповідно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до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Інструкції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обліку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документів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що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знаходяться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  в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бібліотечних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фондах,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затвердженої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наказом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Міністерства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культури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туризму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України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від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03.04 2007 № 22,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зареєстрованого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в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Міністерстві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юстиції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України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23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травня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2007 р. за № 530/1379, та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інших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нормативних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документі</w:t>
      </w:r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</w:t>
      </w:r>
      <w:proofErr w:type="spellEnd"/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.</w:t>
      </w:r>
    </w:p>
    <w:p w:rsidR="00251774" w:rsidRPr="009C639C" w:rsidRDefault="00251774" w:rsidP="00251774">
      <w:pPr>
        <w:numPr>
          <w:ilvl w:val="0"/>
          <w:numId w:val="10"/>
        </w:numPr>
        <w:shd w:val="clear" w:color="auto" w:fill="FFFFFF"/>
        <w:spacing w:after="0" w:line="272" w:lineRule="atLeast"/>
        <w:ind w:left="360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Ø 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Чи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ведеться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обл</w:t>
      </w:r>
      <w:proofErr w:type="gram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ік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підручників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та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посібників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індивідуальним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способом?</w:t>
      </w:r>
    </w:p>
    <w:p w:rsidR="00251774" w:rsidRPr="009C639C" w:rsidRDefault="00251774" w:rsidP="00251774">
      <w:pPr>
        <w:shd w:val="clear" w:color="auto" w:fill="FFFFFF"/>
        <w:spacing w:after="288" w:line="292" w:lineRule="atLeast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proofErr w:type="spellStart"/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ісля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вивчення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усіх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пропозицій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що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надходили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досвіду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роботи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окремих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шкільних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бібліотек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відпала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необхідність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у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обліку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підручників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та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навчальних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посібників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індивідуальним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способом.</w:t>
      </w:r>
    </w:p>
    <w:p w:rsidR="00251774" w:rsidRPr="009C639C" w:rsidRDefault="00251774" w:rsidP="00251774">
      <w:pPr>
        <w:numPr>
          <w:ilvl w:val="0"/>
          <w:numId w:val="11"/>
        </w:numPr>
        <w:shd w:val="clear" w:color="auto" w:fill="FFFFFF"/>
        <w:spacing w:after="0" w:line="272" w:lineRule="atLeast"/>
        <w:ind w:left="360"/>
        <w:jc w:val="both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Ø 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Що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робити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якщо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школою не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придбано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сумарну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 книгу нового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зразка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?</w:t>
      </w:r>
    </w:p>
    <w:p w:rsidR="00251774" w:rsidRDefault="00251774" w:rsidP="00251774">
      <w:pPr>
        <w:shd w:val="clear" w:color="auto" w:fill="FFFFFF"/>
        <w:spacing w:after="0" w:line="292" w:lineRule="atLeast"/>
        <w:jc w:val="both"/>
        <w:rPr>
          <w:rFonts w:ascii="Arial" w:eastAsia="Times New Roman" w:hAnsi="Arial" w:cs="Arial"/>
          <w:color w:val="080808"/>
          <w:sz w:val="28"/>
          <w:szCs w:val="28"/>
          <w:lang w:val="uk-UA" w:eastAsia="ru-RU"/>
        </w:rPr>
      </w:pP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Якщо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школа не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придбала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  книгу нового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зразка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рекомендуємо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 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скористатись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досвідом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роботи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Полтавської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області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зокрема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,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роздрукувати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, </w:t>
      </w:r>
      <w:proofErr w:type="spellStart"/>
      <w:r w:rsidRPr="009C639C">
        <w:rPr>
          <w:rFonts w:ascii="Arial" w:eastAsia="Times New Roman" w:hAnsi="Arial" w:cs="Arial"/>
          <w:b/>
          <w:bCs/>
          <w:color w:val="080808"/>
          <w:sz w:val="28"/>
          <w:szCs w:val="28"/>
          <w:u w:val="single"/>
          <w:lang w:eastAsia="ru-RU"/>
        </w:rPr>
        <w:t>вирізати</w:t>
      </w:r>
      <w:proofErr w:type="spellEnd"/>
      <w:r w:rsidRPr="009C639C">
        <w:rPr>
          <w:rFonts w:ascii="Arial" w:eastAsia="Times New Roman" w:hAnsi="Arial" w:cs="Arial"/>
          <w:b/>
          <w:bCs/>
          <w:color w:val="080808"/>
          <w:sz w:val="28"/>
          <w:szCs w:val="28"/>
          <w:u w:val="single"/>
          <w:lang w:eastAsia="ru-RU"/>
        </w:rPr>
        <w:t xml:space="preserve"> та </w:t>
      </w:r>
      <w:proofErr w:type="spellStart"/>
      <w:r w:rsidRPr="009C639C">
        <w:rPr>
          <w:rFonts w:ascii="Arial" w:eastAsia="Times New Roman" w:hAnsi="Arial" w:cs="Arial"/>
          <w:b/>
          <w:bCs/>
          <w:color w:val="080808"/>
          <w:sz w:val="28"/>
          <w:szCs w:val="28"/>
          <w:u w:val="single"/>
          <w:lang w:eastAsia="ru-RU"/>
        </w:rPr>
        <w:t>вклеїти</w:t>
      </w:r>
      <w:proofErr w:type="spellEnd"/>
      <w:r w:rsidRPr="009C639C">
        <w:rPr>
          <w:rFonts w:ascii="Arial" w:eastAsia="Times New Roman" w:hAnsi="Arial" w:cs="Arial"/>
          <w:b/>
          <w:bCs/>
          <w:color w:val="080808"/>
          <w:sz w:val="28"/>
          <w:szCs w:val="28"/>
          <w:lang w:eastAsia="ru-RU"/>
        </w:rPr>
        <w:t> </w:t>
      </w:r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до старого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зразка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книги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сумарного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обл</w:t>
      </w:r>
      <w:proofErr w:type="gram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іку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підручників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наведені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нижче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таблиці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. Вклейки до старого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зразка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книги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сумарного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обліку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підручників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  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співпадають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з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шириною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позицій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по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горизонталі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 та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висотою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«шапки».    (див. </w:t>
      </w:r>
      <w:proofErr w:type="spellStart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>Додаток</w:t>
      </w:r>
      <w:proofErr w:type="spellEnd"/>
      <w:r w:rsidRPr="009C639C">
        <w:rPr>
          <w:rFonts w:ascii="Arial" w:eastAsia="Times New Roman" w:hAnsi="Arial" w:cs="Arial"/>
          <w:color w:val="080808"/>
          <w:sz w:val="28"/>
          <w:szCs w:val="28"/>
          <w:lang w:eastAsia="ru-RU"/>
        </w:rPr>
        <w:t xml:space="preserve"> №1)</w:t>
      </w:r>
    </w:p>
    <w:p w:rsidR="0085336B" w:rsidRPr="0085336B" w:rsidRDefault="0085336B" w:rsidP="00251774">
      <w:pPr>
        <w:shd w:val="clear" w:color="auto" w:fill="FFFFFF"/>
        <w:spacing w:after="0" w:line="292" w:lineRule="atLeast"/>
        <w:jc w:val="both"/>
        <w:rPr>
          <w:rFonts w:ascii="Arial" w:eastAsia="Times New Roman" w:hAnsi="Arial" w:cs="Arial"/>
          <w:color w:val="080808"/>
          <w:sz w:val="28"/>
          <w:szCs w:val="28"/>
          <w:lang w:val="uk-UA" w:eastAsia="ru-RU"/>
        </w:rPr>
      </w:pPr>
    </w:p>
    <w:p w:rsidR="00251774" w:rsidRPr="009C639C" w:rsidRDefault="00251774" w:rsidP="00251774">
      <w:pPr>
        <w:shd w:val="clear" w:color="auto" w:fill="FFFFFF"/>
        <w:spacing w:after="0" w:line="292" w:lineRule="atLeast"/>
        <w:jc w:val="right"/>
        <w:rPr>
          <w:rFonts w:ascii="Arial" w:eastAsia="Times New Roman" w:hAnsi="Arial" w:cs="Arial"/>
          <w:color w:val="080808"/>
          <w:sz w:val="28"/>
          <w:szCs w:val="28"/>
          <w:lang w:eastAsia="ru-RU"/>
        </w:rPr>
      </w:pPr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Начальник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відділення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організації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видання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навчальної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літератури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Інституту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інноваційних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технологій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і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змісту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освіти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МОН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України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</w:t>
      </w:r>
      <w:proofErr w:type="spellStart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>Николюк</w:t>
      </w:r>
      <w:proofErr w:type="spellEnd"/>
      <w:r w:rsidRPr="009C639C">
        <w:rPr>
          <w:rFonts w:ascii="Arial" w:eastAsia="Times New Roman" w:hAnsi="Arial" w:cs="Arial"/>
          <w:b/>
          <w:bCs/>
          <w:i/>
          <w:iCs/>
          <w:color w:val="080808"/>
          <w:sz w:val="28"/>
          <w:szCs w:val="28"/>
          <w:lang w:eastAsia="ru-RU"/>
        </w:rPr>
        <w:t xml:space="preserve"> О. В.</w:t>
      </w:r>
    </w:p>
    <w:p w:rsidR="00251774" w:rsidRPr="009C639C" w:rsidRDefault="00251774">
      <w:pPr>
        <w:rPr>
          <w:sz w:val="28"/>
          <w:szCs w:val="28"/>
          <w:lang w:val="uk-UA"/>
        </w:rPr>
      </w:pPr>
    </w:p>
    <w:sectPr w:rsidR="00251774" w:rsidRPr="009C639C" w:rsidSect="0052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A09"/>
    <w:multiLevelType w:val="multilevel"/>
    <w:tmpl w:val="6AB6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25B72"/>
    <w:multiLevelType w:val="multilevel"/>
    <w:tmpl w:val="FAB8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61CF6"/>
    <w:multiLevelType w:val="multilevel"/>
    <w:tmpl w:val="94A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41BAA"/>
    <w:multiLevelType w:val="multilevel"/>
    <w:tmpl w:val="E22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140C9"/>
    <w:multiLevelType w:val="multilevel"/>
    <w:tmpl w:val="1D8A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31338"/>
    <w:multiLevelType w:val="multilevel"/>
    <w:tmpl w:val="E760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A2586"/>
    <w:multiLevelType w:val="multilevel"/>
    <w:tmpl w:val="A0C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410D6"/>
    <w:multiLevelType w:val="multilevel"/>
    <w:tmpl w:val="75C6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62285"/>
    <w:multiLevelType w:val="multilevel"/>
    <w:tmpl w:val="001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63C07"/>
    <w:multiLevelType w:val="multilevel"/>
    <w:tmpl w:val="22C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B6EDE"/>
    <w:multiLevelType w:val="multilevel"/>
    <w:tmpl w:val="2A90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774"/>
    <w:rsid w:val="00251774"/>
    <w:rsid w:val="002C5F0E"/>
    <w:rsid w:val="0052012E"/>
    <w:rsid w:val="0085336B"/>
    <w:rsid w:val="009C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E"/>
  </w:style>
  <w:style w:type="paragraph" w:styleId="1">
    <w:name w:val="heading 1"/>
    <w:basedOn w:val="a"/>
    <w:link w:val="10"/>
    <w:uiPriority w:val="9"/>
    <w:qFormat/>
    <w:rsid w:val="00251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17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lib-2</cp:lastModifiedBy>
  <cp:revision>4</cp:revision>
  <dcterms:created xsi:type="dcterms:W3CDTF">2014-04-07T14:22:00Z</dcterms:created>
  <dcterms:modified xsi:type="dcterms:W3CDTF">2015-09-23T12:49:00Z</dcterms:modified>
</cp:coreProperties>
</file>